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23" w:rsidRPr="009115CC" w:rsidRDefault="009115CC" w:rsidP="003F7E23">
      <w:pPr>
        <w:jc w:val="both"/>
        <w:rPr>
          <w:rFonts w:asciiTheme="majorHAnsi" w:hAnsiTheme="majorHAnsi" w:cs="Arial"/>
          <w:sz w:val="22"/>
          <w:lang w:val="pt-PT"/>
        </w:rPr>
      </w:pPr>
      <w:bookmarkStart w:id="0" w:name="_GoBack"/>
      <w:bookmarkEnd w:id="0"/>
      <w:r w:rsidRPr="009115CC">
        <w:rPr>
          <w:rFonts w:asciiTheme="majorHAnsi" w:hAnsiTheme="majorHAnsi" w:cs="Arial"/>
          <w:b/>
          <w:sz w:val="22"/>
          <w:lang w:val="pt-PT"/>
        </w:rPr>
        <w:t>Estudantes</w:t>
      </w:r>
      <w:r w:rsidR="00A74267" w:rsidRPr="009115CC">
        <w:rPr>
          <w:rFonts w:asciiTheme="majorHAnsi" w:hAnsiTheme="majorHAnsi" w:cs="Arial"/>
          <w:b/>
          <w:sz w:val="22"/>
          <w:lang w:val="pt-PT"/>
        </w:rPr>
        <w:t xml:space="preserve"> Avaliadores – </w:t>
      </w:r>
      <w:r w:rsidR="003010B3" w:rsidRPr="009115CC">
        <w:rPr>
          <w:rFonts w:asciiTheme="majorHAnsi" w:hAnsiTheme="majorHAnsi" w:cs="Arial"/>
          <w:b/>
          <w:sz w:val="22"/>
          <w:lang w:val="pt-PT"/>
        </w:rPr>
        <w:t>Perguntas Frequentes</w:t>
      </w:r>
      <w:r w:rsidR="003010B3" w:rsidRPr="009115CC">
        <w:rPr>
          <w:rFonts w:asciiTheme="majorHAnsi" w:hAnsiTheme="majorHAnsi" w:cs="Arial"/>
          <w:sz w:val="22"/>
          <w:lang w:val="pt-PT"/>
        </w:rPr>
        <w:t xml:space="preserve"> (respostas a algumas questões que têm sido levantadas em relação a este tema)</w:t>
      </w:r>
    </w:p>
    <w:p w:rsidR="00AB0B86" w:rsidRPr="00086E6B" w:rsidRDefault="00AB0B86" w:rsidP="00AB0B86">
      <w:pPr>
        <w:widowControl w:val="0"/>
        <w:autoSpaceDE w:val="0"/>
        <w:autoSpaceDN w:val="0"/>
        <w:adjustRightInd w:val="0"/>
        <w:spacing w:after="0"/>
        <w:jc w:val="both"/>
        <w:rPr>
          <w:rFonts w:asciiTheme="majorHAnsi" w:hAnsiTheme="majorHAnsi" w:cs="Arial"/>
          <w:sz w:val="22"/>
          <w:lang w:val="pt-PT"/>
        </w:rPr>
      </w:pPr>
    </w:p>
    <w:p w:rsidR="00163BC2" w:rsidRPr="00E0235B" w:rsidRDefault="00163BC2" w:rsidP="00163BC2">
      <w:pPr>
        <w:widowControl w:val="0"/>
        <w:autoSpaceDE w:val="0"/>
        <w:autoSpaceDN w:val="0"/>
        <w:adjustRightInd w:val="0"/>
        <w:spacing w:after="0"/>
        <w:jc w:val="both"/>
        <w:rPr>
          <w:rFonts w:asciiTheme="majorHAnsi" w:hAnsiTheme="majorHAnsi" w:cs="Arial"/>
          <w:b/>
          <w:i/>
          <w:sz w:val="22"/>
          <w:lang w:val="pt-PT"/>
        </w:rPr>
      </w:pPr>
      <w:r w:rsidRPr="00E0235B">
        <w:rPr>
          <w:rFonts w:asciiTheme="majorHAnsi" w:hAnsiTheme="majorHAnsi" w:cs="Arial"/>
          <w:b/>
          <w:i/>
          <w:sz w:val="22"/>
          <w:lang w:val="pt-PT"/>
        </w:rPr>
        <w:t>P1 – Um ex-estudante que tenha terminado recentemente um curso de ensino superior poderá candidatar-se?</w:t>
      </w:r>
    </w:p>
    <w:p w:rsidR="00163BC2" w:rsidRPr="00E0235B" w:rsidRDefault="00163BC2" w:rsidP="00AB0B86">
      <w:pPr>
        <w:widowControl w:val="0"/>
        <w:autoSpaceDE w:val="0"/>
        <w:autoSpaceDN w:val="0"/>
        <w:adjustRightInd w:val="0"/>
        <w:spacing w:after="0" w:line="192" w:lineRule="auto"/>
        <w:jc w:val="both"/>
        <w:rPr>
          <w:rFonts w:asciiTheme="majorHAnsi" w:hAnsiTheme="majorHAnsi" w:cs="Arial"/>
          <w:sz w:val="22"/>
          <w:lang w:val="pt-PT"/>
        </w:rPr>
      </w:pPr>
    </w:p>
    <w:p w:rsidR="00163BC2" w:rsidRPr="00E0235B" w:rsidRDefault="00163BC2" w:rsidP="00163BC2">
      <w:pPr>
        <w:widowControl w:val="0"/>
        <w:autoSpaceDE w:val="0"/>
        <w:autoSpaceDN w:val="0"/>
        <w:adjustRightInd w:val="0"/>
        <w:spacing w:after="0"/>
        <w:jc w:val="both"/>
        <w:rPr>
          <w:rFonts w:asciiTheme="majorHAnsi" w:hAnsiTheme="majorHAnsi" w:cs="Arial"/>
          <w:sz w:val="22"/>
          <w:lang w:val="pt-PT"/>
        </w:rPr>
      </w:pPr>
      <w:r w:rsidRPr="00E0235B">
        <w:rPr>
          <w:rFonts w:asciiTheme="majorHAnsi" w:hAnsiTheme="majorHAnsi" w:cs="Arial"/>
          <w:sz w:val="22"/>
          <w:lang w:val="pt-PT"/>
        </w:rPr>
        <w:t>R1 – Sim, poderão candidatar-se estudantes devidamente inscritos num curso de ensino superior no ano a que respeita a avaliação, bem como graduados que tenham terminado um curso de ensino superior em um dos dois anos precedentes.</w:t>
      </w:r>
    </w:p>
    <w:p w:rsidR="00163BC2" w:rsidRPr="009115CC" w:rsidRDefault="00163BC2" w:rsidP="00163BC2">
      <w:pPr>
        <w:widowControl w:val="0"/>
        <w:autoSpaceDE w:val="0"/>
        <w:autoSpaceDN w:val="0"/>
        <w:adjustRightInd w:val="0"/>
        <w:spacing w:after="120"/>
        <w:jc w:val="both"/>
        <w:rPr>
          <w:rFonts w:asciiTheme="majorHAnsi" w:hAnsiTheme="majorHAnsi" w:cs="Arial"/>
          <w:sz w:val="22"/>
          <w:lang w:val="pt-PT"/>
        </w:rPr>
      </w:pPr>
    </w:p>
    <w:p w:rsidR="003F7E23" w:rsidRPr="009115CC" w:rsidRDefault="00163BC2" w:rsidP="003F7E23">
      <w:pPr>
        <w:widowControl w:val="0"/>
        <w:autoSpaceDE w:val="0"/>
        <w:autoSpaceDN w:val="0"/>
        <w:adjustRightInd w:val="0"/>
        <w:spacing w:after="0"/>
        <w:jc w:val="both"/>
        <w:rPr>
          <w:rFonts w:asciiTheme="majorHAnsi" w:hAnsiTheme="majorHAnsi" w:cs="Arial"/>
          <w:b/>
          <w:i/>
          <w:sz w:val="22"/>
          <w:lang w:val="pt-PT"/>
        </w:rPr>
      </w:pPr>
      <w:r>
        <w:rPr>
          <w:rFonts w:asciiTheme="majorHAnsi" w:hAnsiTheme="majorHAnsi" w:cs="Arial"/>
          <w:b/>
          <w:i/>
          <w:sz w:val="22"/>
          <w:lang w:val="pt-PT"/>
        </w:rPr>
        <w:t>P2</w:t>
      </w:r>
      <w:r w:rsidR="000B20F5" w:rsidRPr="009115CC">
        <w:rPr>
          <w:rFonts w:asciiTheme="majorHAnsi" w:hAnsiTheme="majorHAnsi" w:cs="Arial"/>
          <w:b/>
          <w:i/>
          <w:sz w:val="22"/>
          <w:lang w:val="pt-PT"/>
        </w:rPr>
        <w:t xml:space="preserve"> - Qual a disp</w:t>
      </w:r>
      <w:r w:rsidR="00A23078">
        <w:rPr>
          <w:rFonts w:asciiTheme="majorHAnsi" w:hAnsiTheme="majorHAnsi" w:cs="Arial"/>
          <w:b/>
          <w:i/>
          <w:sz w:val="22"/>
          <w:lang w:val="pt-PT"/>
        </w:rPr>
        <w:t>onibilidade/periodicidade (expe</w:t>
      </w:r>
      <w:r w:rsidR="000B20F5" w:rsidRPr="009115CC">
        <w:rPr>
          <w:rFonts w:asciiTheme="majorHAnsi" w:hAnsiTheme="majorHAnsi" w:cs="Arial"/>
          <w:b/>
          <w:i/>
          <w:sz w:val="22"/>
          <w:lang w:val="pt-PT"/>
        </w:rPr>
        <w:t xml:space="preserve">tável) com que os estudantes </w:t>
      </w:r>
      <w:r w:rsidR="00086E6B">
        <w:rPr>
          <w:rFonts w:asciiTheme="majorHAnsi" w:hAnsiTheme="majorHAnsi" w:cs="Arial"/>
          <w:b/>
          <w:i/>
          <w:sz w:val="22"/>
          <w:lang w:val="pt-PT"/>
        </w:rPr>
        <w:t>poderão participar</w:t>
      </w:r>
      <w:r w:rsidR="000B20F5" w:rsidRPr="009115CC">
        <w:rPr>
          <w:rFonts w:asciiTheme="majorHAnsi" w:hAnsiTheme="majorHAnsi" w:cs="Arial"/>
          <w:b/>
          <w:i/>
          <w:sz w:val="22"/>
          <w:lang w:val="pt-PT"/>
        </w:rPr>
        <w:t xml:space="preserve"> nas </w:t>
      </w:r>
      <w:proofErr w:type="spellStart"/>
      <w:r w:rsidR="000B20F5" w:rsidRPr="009115CC">
        <w:rPr>
          <w:rFonts w:asciiTheme="majorHAnsi" w:hAnsiTheme="majorHAnsi" w:cs="Arial"/>
          <w:b/>
          <w:i/>
          <w:sz w:val="22"/>
          <w:lang w:val="pt-PT"/>
        </w:rPr>
        <w:t>CAE's</w:t>
      </w:r>
      <w:proofErr w:type="spellEnd"/>
      <w:r w:rsidR="000B20F5" w:rsidRPr="009115CC">
        <w:rPr>
          <w:rFonts w:asciiTheme="majorHAnsi" w:hAnsiTheme="majorHAnsi" w:cs="Arial"/>
          <w:b/>
          <w:i/>
          <w:sz w:val="22"/>
          <w:lang w:val="pt-PT"/>
        </w:rPr>
        <w:t>?</w:t>
      </w:r>
    </w:p>
    <w:p w:rsidR="003F7E23" w:rsidRPr="00AB0B86" w:rsidRDefault="00364F9D" w:rsidP="00AB0B86">
      <w:pPr>
        <w:widowControl w:val="0"/>
        <w:autoSpaceDE w:val="0"/>
        <w:autoSpaceDN w:val="0"/>
        <w:adjustRightInd w:val="0"/>
        <w:spacing w:after="0" w:line="192" w:lineRule="auto"/>
        <w:jc w:val="both"/>
        <w:rPr>
          <w:rFonts w:asciiTheme="majorHAnsi" w:hAnsiTheme="majorHAnsi" w:cs="Arial"/>
          <w:color w:val="0070C0"/>
          <w:sz w:val="22"/>
          <w:lang w:val="pt-PT"/>
        </w:rPr>
      </w:pPr>
    </w:p>
    <w:p w:rsidR="003F7E23" w:rsidRPr="009115CC" w:rsidRDefault="00163BC2" w:rsidP="003F7E23">
      <w:pPr>
        <w:widowControl w:val="0"/>
        <w:autoSpaceDE w:val="0"/>
        <w:autoSpaceDN w:val="0"/>
        <w:adjustRightInd w:val="0"/>
        <w:spacing w:after="0"/>
        <w:jc w:val="both"/>
        <w:rPr>
          <w:rFonts w:asciiTheme="majorHAnsi" w:hAnsiTheme="majorHAnsi" w:cs="Arial"/>
          <w:sz w:val="22"/>
          <w:lang w:val="pt-PT"/>
        </w:rPr>
      </w:pPr>
      <w:r>
        <w:rPr>
          <w:rFonts w:asciiTheme="majorHAnsi" w:hAnsiTheme="majorHAnsi" w:cs="Arial"/>
          <w:sz w:val="22"/>
          <w:lang w:val="pt-PT"/>
        </w:rPr>
        <w:t>R2</w:t>
      </w:r>
      <w:r w:rsidR="000B20F5" w:rsidRPr="009115CC">
        <w:rPr>
          <w:rFonts w:asciiTheme="majorHAnsi" w:hAnsiTheme="majorHAnsi" w:cs="Arial"/>
          <w:sz w:val="22"/>
          <w:lang w:val="pt-PT"/>
        </w:rPr>
        <w:t xml:space="preserve"> - Um estudante </w:t>
      </w:r>
      <w:r w:rsidR="00086E6B">
        <w:rPr>
          <w:rFonts w:asciiTheme="majorHAnsi" w:hAnsiTheme="majorHAnsi" w:cs="Arial"/>
          <w:sz w:val="22"/>
          <w:lang w:val="pt-PT"/>
        </w:rPr>
        <w:t xml:space="preserve">só </w:t>
      </w:r>
      <w:r w:rsidR="000B20F5" w:rsidRPr="009115CC">
        <w:rPr>
          <w:rFonts w:asciiTheme="majorHAnsi" w:hAnsiTheme="majorHAnsi" w:cs="Arial"/>
          <w:sz w:val="22"/>
          <w:lang w:val="pt-PT"/>
        </w:rPr>
        <w:t>deverá integrar uma CAE</w:t>
      </w:r>
      <w:r w:rsidR="00A23078">
        <w:rPr>
          <w:rFonts w:asciiTheme="majorHAnsi" w:hAnsiTheme="majorHAnsi" w:cs="Arial"/>
          <w:sz w:val="22"/>
          <w:lang w:val="pt-PT"/>
        </w:rPr>
        <w:t xml:space="preserve"> (aquela que melhor se adeque à sua formação)</w:t>
      </w:r>
      <w:r w:rsidR="000B20F5" w:rsidRPr="009115CC">
        <w:rPr>
          <w:rFonts w:asciiTheme="majorHAnsi" w:hAnsiTheme="majorHAnsi" w:cs="Arial"/>
          <w:sz w:val="22"/>
          <w:lang w:val="pt-PT"/>
        </w:rPr>
        <w:t xml:space="preserve">. Quanto ao número de visitas em que participa, dependerá </w:t>
      </w:r>
      <w:r w:rsidR="009115CC">
        <w:rPr>
          <w:rFonts w:asciiTheme="majorHAnsi" w:hAnsiTheme="majorHAnsi" w:cs="Arial"/>
          <w:sz w:val="22"/>
          <w:lang w:val="pt-PT"/>
        </w:rPr>
        <w:t>do número de ciclos de estudo a avaliar e de estudantes avaliadores disponíveis, bem como</w:t>
      </w:r>
      <w:r w:rsidR="000B20F5" w:rsidRPr="009115CC">
        <w:rPr>
          <w:rFonts w:asciiTheme="majorHAnsi" w:hAnsiTheme="majorHAnsi" w:cs="Arial"/>
          <w:sz w:val="22"/>
          <w:lang w:val="pt-PT"/>
        </w:rPr>
        <w:t xml:space="preserve"> da disponibilidade do estudante. </w:t>
      </w:r>
      <w:r w:rsidR="009115CC">
        <w:rPr>
          <w:rFonts w:asciiTheme="majorHAnsi" w:hAnsiTheme="majorHAnsi" w:cs="Arial"/>
          <w:sz w:val="22"/>
          <w:lang w:val="pt-PT"/>
        </w:rPr>
        <w:t>Considera-se que, em princípio, um estudante não deverá efetuar mais de duas visitas, para não interferir em excesso com os seus estudos.</w:t>
      </w:r>
    </w:p>
    <w:p w:rsidR="003F7E23" w:rsidRDefault="000B20F5" w:rsidP="003F7E23">
      <w:pPr>
        <w:widowControl w:val="0"/>
        <w:autoSpaceDE w:val="0"/>
        <w:autoSpaceDN w:val="0"/>
        <w:adjustRightInd w:val="0"/>
        <w:spacing w:after="0"/>
        <w:jc w:val="both"/>
        <w:rPr>
          <w:rFonts w:asciiTheme="majorHAnsi" w:hAnsiTheme="majorHAnsi" w:cs="Arial"/>
          <w:sz w:val="22"/>
          <w:lang w:val="pt-PT"/>
        </w:rPr>
      </w:pPr>
      <w:r w:rsidRPr="009115CC">
        <w:rPr>
          <w:rFonts w:asciiTheme="majorHAnsi" w:hAnsiTheme="majorHAnsi" w:cs="Arial"/>
          <w:sz w:val="22"/>
          <w:lang w:val="pt-PT"/>
        </w:rPr>
        <w:t>Quanto à periodicidade</w:t>
      </w:r>
      <w:r w:rsidR="00A23078">
        <w:rPr>
          <w:rFonts w:asciiTheme="majorHAnsi" w:hAnsiTheme="majorHAnsi" w:cs="Arial"/>
          <w:sz w:val="22"/>
          <w:lang w:val="pt-PT"/>
        </w:rPr>
        <w:t xml:space="preserve"> expetável</w:t>
      </w:r>
      <w:r w:rsidRPr="009115CC">
        <w:rPr>
          <w:rFonts w:asciiTheme="majorHAnsi" w:hAnsiTheme="majorHAnsi" w:cs="Arial"/>
          <w:sz w:val="22"/>
          <w:lang w:val="pt-PT"/>
        </w:rPr>
        <w:t xml:space="preserve">, em princípio cada área científica será objeto de acreditação </w:t>
      </w:r>
      <w:r w:rsidR="003010B3" w:rsidRPr="009115CC">
        <w:rPr>
          <w:rFonts w:asciiTheme="majorHAnsi" w:hAnsiTheme="majorHAnsi" w:cs="Arial"/>
          <w:sz w:val="22"/>
          <w:lang w:val="pt-PT"/>
        </w:rPr>
        <w:t xml:space="preserve">em </w:t>
      </w:r>
      <w:r w:rsidRPr="009115CC">
        <w:rPr>
          <w:rFonts w:asciiTheme="majorHAnsi" w:hAnsiTheme="majorHAnsi" w:cs="Arial"/>
          <w:sz w:val="22"/>
          <w:lang w:val="pt-PT"/>
        </w:rPr>
        <w:t xml:space="preserve">um só ano dentro do ciclo de </w:t>
      </w:r>
      <w:r w:rsidR="003010B3" w:rsidRPr="009115CC">
        <w:rPr>
          <w:rFonts w:asciiTheme="majorHAnsi" w:hAnsiTheme="majorHAnsi" w:cs="Arial"/>
          <w:sz w:val="22"/>
          <w:lang w:val="pt-PT"/>
        </w:rPr>
        <w:t xml:space="preserve">avaliação/acreditação de </w:t>
      </w:r>
      <w:r w:rsidR="00B060A3">
        <w:rPr>
          <w:rFonts w:asciiTheme="majorHAnsi" w:hAnsiTheme="majorHAnsi" w:cs="Arial"/>
          <w:sz w:val="22"/>
          <w:lang w:val="pt-PT"/>
        </w:rPr>
        <w:t>seis</w:t>
      </w:r>
      <w:r w:rsidRPr="009115CC">
        <w:rPr>
          <w:rFonts w:asciiTheme="majorHAnsi" w:hAnsiTheme="majorHAnsi" w:cs="Arial"/>
          <w:sz w:val="22"/>
          <w:lang w:val="pt-PT"/>
        </w:rPr>
        <w:t xml:space="preserve"> anos. No entanto, em áreas com muitos cursos e visitas, </w:t>
      </w:r>
      <w:r w:rsidR="003010B3" w:rsidRPr="009115CC">
        <w:rPr>
          <w:rFonts w:asciiTheme="majorHAnsi" w:hAnsiTheme="majorHAnsi" w:cs="Arial"/>
          <w:sz w:val="22"/>
          <w:lang w:val="pt-PT"/>
        </w:rPr>
        <w:t xml:space="preserve">esse período </w:t>
      </w:r>
      <w:r w:rsidRPr="009115CC">
        <w:rPr>
          <w:rFonts w:asciiTheme="majorHAnsi" w:hAnsiTheme="majorHAnsi" w:cs="Arial"/>
          <w:sz w:val="22"/>
          <w:lang w:val="pt-PT"/>
        </w:rPr>
        <w:t>poderá estender-se por dois anos.</w:t>
      </w:r>
    </w:p>
    <w:p w:rsidR="00B060A3" w:rsidRPr="00086E6B" w:rsidRDefault="00B060A3" w:rsidP="003F7E23">
      <w:pPr>
        <w:widowControl w:val="0"/>
        <w:autoSpaceDE w:val="0"/>
        <w:autoSpaceDN w:val="0"/>
        <w:adjustRightInd w:val="0"/>
        <w:spacing w:after="0"/>
        <w:jc w:val="both"/>
        <w:rPr>
          <w:rFonts w:asciiTheme="majorHAnsi" w:hAnsiTheme="majorHAnsi" w:cs="Arial"/>
          <w:sz w:val="22"/>
          <w:lang w:val="pt-PT"/>
        </w:rPr>
      </w:pPr>
      <w:r w:rsidRPr="00086E6B">
        <w:rPr>
          <w:rFonts w:asciiTheme="majorHAnsi" w:hAnsiTheme="majorHAnsi" w:cs="Arial"/>
          <w:sz w:val="22"/>
          <w:lang w:val="pt-PT"/>
        </w:rPr>
        <w:t xml:space="preserve">A possibilidade, recentemente introduzida, de recrutamento de estudantes avaliadores também em áreas afins das áreas em avaliação em cada ano poderá permitir, em alguns casos em que se verifique um número insuficiente de candidatos integrados na bolsa de avaliadores, o recurso a estudantes selecionados nos anos anteriores </w:t>
      </w:r>
      <w:r w:rsidR="00BA73C9" w:rsidRPr="00086E6B">
        <w:rPr>
          <w:rFonts w:asciiTheme="majorHAnsi" w:hAnsiTheme="majorHAnsi" w:cs="Arial"/>
          <w:sz w:val="22"/>
          <w:lang w:val="pt-PT"/>
        </w:rPr>
        <w:t>que tenham demonstrado bom desempenho nas avaliações em que participaram.</w:t>
      </w:r>
    </w:p>
    <w:p w:rsidR="003F7E23" w:rsidRPr="009115CC" w:rsidRDefault="00364F9D" w:rsidP="00000837">
      <w:pPr>
        <w:widowControl w:val="0"/>
        <w:autoSpaceDE w:val="0"/>
        <w:autoSpaceDN w:val="0"/>
        <w:adjustRightInd w:val="0"/>
        <w:spacing w:after="120"/>
        <w:jc w:val="both"/>
        <w:rPr>
          <w:rFonts w:asciiTheme="majorHAnsi" w:hAnsiTheme="majorHAnsi" w:cs="Arial"/>
          <w:sz w:val="22"/>
          <w:lang w:val="pt-PT"/>
        </w:rPr>
      </w:pPr>
    </w:p>
    <w:p w:rsidR="003F7E23" w:rsidRPr="009115CC" w:rsidRDefault="00163BC2" w:rsidP="003F7E23">
      <w:pPr>
        <w:widowControl w:val="0"/>
        <w:autoSpaceDE w:val="0"/>
        <w:autoSpaceDN w:val="0"/>
        <w:adjustRightInd w:val="0"/>
        <w:spacing w:after="0"/>
        <w:jc w:val="both"/>
        <w:rPr>
          <w:rFonts w:asciiTheme="majorHAnsi" w:hAnsiTheme="majorHAnsi" w:cs="Arial"/>
          <w:b/>
          <w:i/>
          <w:sz w:val="22"/>
          <w:lang w:val="pt-PT"/>
        </w:rPr>
      </w:pPr>
      <w:r>
        <w:rPr>
          <w:rFonts w:asciiTheme="majorHAnsi" w:hAnsiTheme="majorHAnsi" w:cs="Arial"/>
          <w:b/>
          <w:i/>
          <w:sz w:val="22"/>
          <w:lang w:val="pt-PT"/>
        </w:rPr>
        <w:t>P3</w:t>
      </w:r>
      <w:r w:rsidR="000B20F5" w:rsidRPr="009115CC">
        <w:rPr>
          <w:rFonts w:asciiTheme="majorHAnsi" w:hAnsiTheme="majorHAnsi" w:cs="Arial"/>
          <w:b/>
          <w:i/>
          <w:sz w:val="22"/>
          <w:lang w:val="pt-PT"/>
        </w:rPr>
        <w:t xml:space="preserve"> - Qual o compromisso que será exigido ao estudante? Um ano?</w:t>
      </w:r>
    </w:p>
    <w:p w:rsidR="003F7E23" w:rsidRPr="00AB0B86" w:rsidRDefault="00364F9D" w:rsidP="00AB0B86">
      <w:pPr>
        <w:widowControl w:val="0"/>
        <w:autoSpaceDE w:val="0"/>
        <w:autoSpaceDN w:val="0"/>
        <w:adjustRightInd w:val="0"/>
        <w:spacing w:after="0" w:line="192" w:lineRule="auto"/>
        <w:jc w:val="both"/>
        <w:rPr>
          <w:rFonts w:asciiTheme="majorHAnsi" w:hAnsiTheme="majorHAnsi" w:cs="Arial"/>
          <w:color w:val="0070C0"/>
          <w:sz w:val="22"/>
          <w:lang w:val="pt-PT"/>
        </w:rPr>
      </w:pPr>
    </w:p>
    <w:p w:rsidR="003F7E23" w:rsidRPr="009115CC" w:rsidRDefault="00163BC2" w:rsidP="003F7E23">
      <w:pPr>
        <w:widowControl w:val="0"/>
        <w:autoSpaceDE w:val="0"/>
        <w:autoSpaceDN w:val="0"/>
        <w:adjustRightInd w:val="0"/>
        <w:spacing w:after="0"/>
        <w:jc w:val="both"/>
        <w:rPr>
          <w:rFonts w:asciiTheme="majorHAnsi" w:hAnsiTheme="majorHAnsi" w:cs="Arial"/>
          <w:sz w:val="22"/>
          <w:lang w:val="pt-PT"/>
        </w:rPr>
      </w:pPr>
      <w:r>
        <w:rPr>
          <w:rFonts w:asciiTheme="majorHAnsi" w:hAnsiTheme="majorHAnsi" w:cs="Arial"/>
          <w:sz w:val="22"/>
          <w:lang w:val="pt-PT"/>
        </w:rPr>
        <w:t>R3</w:t>
      </w:r>
      <w:r w:rsidR="000B20F5" w:rsidRPr="009115CC">
        <w:rPr>
          <w:rFonts w:asciiTheme="majorHAnsi" w:hAnsiTheme="majorHAnsi" w:cs="Arial"/>
          <w:sz w:val="22"/>
          <w:lang w:val="pt-PT"/>
        </w:rPr>
        <w:t xml:space="preserve"> - Conviria ser um ciclo de acred</w:t>
      </w:r>
      <w:r w:rsidR="00B060A3">
        <w:rPr>
          <w:rFonts w:asciiTheme="majorHAnsi" w:hAnsiTheme="majorHAnsi" w:cs="Arial"/>
          <w:sz w:val="22"/>
          <w:lang w:val="pt-PT"/>
        </w:rPr>
        <w:t>itação (neste caso, o ciclo 2018-2023</w:t>
      </w:r>
      <w:r w:rsidR="000B20F5" w:rsidRPr="009115CC">
        <w:rPr>
          <w:rFonts w:asciiTheme="majorHAnsi" w:hAnsiTheme="majorHAnsi" w:cs="Arial"/>
          <w:sz w:val="22"/>
          <w:lang w:val="pt-PT"/>
        </w:rPr>
        <w:t xml:space="preserve">), mas, como dito atrás, em princípio </w:t>
      </w:r>
      <w:r w:rsidR="000B20F5" w:rsidRPr="00086E6B">
        <w:rPr>
          <w:rFonts w:asciiTheme="majorHAnsi" w:hAnsiTheme="majorHAnsi" w:cs="Arial"/>
          <w:sz w:val="22"/>
          <w:lang w:val="pt-PT"/>
        </w:rPr>
        <w:t>envolverá apenas um ano</w:t>
      </w:r>
      <w:r w:rsidR="00B060A3" w:rsidRPr="00086E6B">
        <w:rPr>
          <w:rFonts w:asciiTheme="majorHAnsi" w:hAnsiTheme="majorHAnsi" w:cs="Arial"/>
          <w:sz w:val="22"/>
          <w:lang w:val="pt-PT"/>
        </w:rPr>
        <w:t xml:space="preserve"> ou dois anos</w:t>
      </w:r>
      <w:r w:rsidR="00BA73C9" w:rsidRPr="00086E6B">
        <w:rPr>
          <w:rFonts w:asciiTheme="majorHAnsi" w:hAnsiTheme="majorHAnsi" w:cs="Arial"/>
          <w:sz w:val="22"/>
          <w:lang w:val="pt-PT"/>
        </w:rPr>
        <w:t>, podendo ser superior nos casos referidos no parágrafo precedente</w:t>
      </w:r>
      <w:r w:rsidR="000B20F5" w:rsidRPr="00086E6B">
        <w:rPr>
          <w:rFonts w:asciiTheme="majorHAnsi" w:hAnsiTheme="majorHAnsi" w:cs="Arial"/>
          <w:sz w:val="22"/>
          <w:lang w:val="pt-PT"/>
        </w:rPr>
        <w:t>.</w:t>
      </w:r>
      <w:r w:rsidR="000B20F5" w:rsidRPr="00BA73C9">
        <w:rPr>
          <w:rFonts w:asciiTheme="majorHAnsi" w:hAnsiTheme="majorHAnsi" w:cs="Arial"/>
          <w:color w:val="0070C0"/>
          <w:sz w:val="22"/>
          <w:lang w:val="pt-PT"/>
        </w:rPr>
        <w:t xml:space="preserve"> </w:t>
      </w:r>
    </w:p>
    <w:p w:rsidR="003F7E23" w:rsidRPr="009115CC" w:rsidRDefault="00364F9D" w:rsidP="00000837">
      <w:pPr>
        <w:widowControl w:val="0"/>
        <w:autoSpaceDE w:val="0"/>
        <w:autoSpaceDN w:val="0"/>
        <w:adjustRightInd w:val="0"/>
        <w:spacing w:after="120"/>
        <w:jc w:val="both"/>
        <w:rPr>
          <w:rFonts w:asciiTheme="majorHAnsi" w:hAnsiTheme="majorHAnsi" w:cs="Arial"/>
          <w:sz w:val="22"/>
          <w:lang w:val="pt-PT"/>
        </w:rPr>
      </w:pPr>
    </w:p>
    <w:p w:rsidR="003F7E23" w:rsidRPr="009115CC" w:rsidRDefault="00163BC2" w:rsidP="003F7E23">
      <w:pPr>
        <w:widowControl w:val="0"/>
        <w:autoSpaceDE w:val="0"/>
        <w:autoSpaceDN w:val="0"/>
        <w:adjustRightInd w:val="0"/>
        <w:spacing w:after="0"/>
        <w:jc w:val="both"/>
        <w:rPr>
          <w:rFonts w:asciiTheme="majorHAnsi" w:hAnsiTheme="majorHAnsi" w:cs="Arial"/>
          <w:b/>
          <w:i/>
          <w:sz w:val="22"/>
          <w:lang w:val="pt-PT"/>
        </w:rPr>
      </w:pPr>
      <w:r>
        <w:rPr>
          <w:rFonts w:asciiTheme="majorHAnsi" w:hAnsiTheme="majorHAnsi" w:cs="Arial"/>
          <w:b/>
          <w:i/>
          <w:sz w:val="22"/>
          <w:lang w:val="pt-PT"/>
        </w:rPr>
        <w:t>P4</w:t>
      </w:r>
      <w:r w:rsidR="000B20F5" w:rsidRPr="009115CC">
        <w:rPr>
          <w:rFonts w:asciiTheme="majorHAnsi" w:hAnsiTheme="majorHAnsi" w:cs="Arial"/>
          <w:b/>
          <w:i/>
          <w:sz w:val="22"/>
          <w:lang w:val="pt-PT"/>
        </w:rPr>
        <w:t xml:space="preserve"> - Após a seleção, os estudantes participarão numa ação de formação. Após a formação, </w:t>
      </w:r>
      <w:r w:rsidR="00630591">
        <w:rPr>
          <w:rFonts w:asciiTheme="majorHAnsi" w:hAnsiTheme="majorHAnsi" w:cs="Arial"/>
          <w:b/>
          <w:i/>
          <w:sz w:val="22"/>
          <w:lang w:val="pt-PT"/>
        </w:rPr>
        <w:t>será feita mais alguma triagem?</w:t>
      </w:r>
    </w:p>
    <w:p w:rsidR="006F4E50" w:rsidRPr="00AB0B86" w:rsidRDefault="00364F9D" w:rsidP="00AB0B86">
      <w:pPr>
        <w:widowControl w:val="0"/>
        <w:autoSpaceDE w:val="0"/>
        <w:autoSpaceDN w:val="0"/>
        <w:adjustRightInd w:val="0"/>
        <w:spacing w:after="0" w:line="192" w:lineRule="auto"/>
        <w:jc w:val="both"/>
        <w:rPr>
          <w:rFonts w:asciiTheme="majorHAnsi" w:hAnsiTheme="majorHAnsi" w:cs="Arial"/>
          <w:color w:val="0070C0"/>
          <w:sz w:val="22"/>
          <w:lang w:val="pt-PT"/>
        </w:rPr>
      </w:pPr>
    </w:p>
    <w:p w:rsidR="003F7E23" w:rsidRDefault="00163BC2" w:rsidP="003F7E23">
      <w:pPr>
        <w:widowControl w:val="0"/>
        <w:autoSpaceDE w:val="0"/>
        <w:autoSpaceDN w:val="0"/>
        <w:adjustRightInd w:val="0"/>
        <w:spacing w:after="0"/>
        <w:jc w:val="both"/>
        <w:rPr>
          <w:rFonts w:asciiTheme="majorHAnsi" w:hAnsiTheme="majorHAnsi" w:cs="Arial"/>
          <w:sz w:val="22"/>
          <w:lang w:val="pt-PT"/>
        </w:rPr>
      </w:pPr>
      <w:r>
        <w:rPr>
          <w:rFonts w:asciiTheme="majorHAnsi" w:hAnsiTheme="majorHAnsi" w:cs="Arial"/>
          <w:sz w:val="22"/>
          <w:lang w:val="pt-PT"/>
        </w:rPr>
        <w:t>R4</w:t>
      </w:r>
      <w:r w:rsidR="000B20F5" w:rsidRPr="009115CC">
        <w:rPr>
          <w:rFonts w:asciiTheme="majorHAnsi" w:hAnsiTheme="majorHAnsi" w:cs="Arial"/>
          <w:sz w:val="22"/>
          <w:lang w:val="pt-PT"/>
        </w:rPr>
        <w:t xml:space="preserve"> </w:t>
      </w:r>
      <w:r w:rsidR="003010B3" w:rsidRPr="009115CC">
        <w:rPr>
          <w:rFonts w:asciiTheme="majorHAnsi" w:hAnsiTheme="majorHAnsi" w:cs="Arial"/>
          <w:sz w:val="22"/>
          <w:lang w:val="pt-PT"/>
        </w:rPr>
        <w:t>–</w:t>
      </w:r>
      <w:r w:rsidR="000B20F5" w:rsidRPr="009115CC">
        <w:rPr>
          <w:rFonts w:asciiTheme="majorHAnsi" w:hAnsiTheme="majorHAnsi" w:cs="Arial"/>
          <w:sz w:val="22"/>
          <w:lang w:val="pt-PT"/>
        </w:rPr>
        <w:t xml:space="preserve"> </w:t>
      </w:r>
      <w:r w:rsidR="00630591">
        <w:rPr>
          <w:rFonts w:asciiTheme="majorHAnsi" w:hAnsiTheme="majorHAnsi" w:cs="Arial"/>
          <w:sz w:val="22"/>
          <w:lang w:val="pt-PT"/>
        </w:rPr>
        <w:t xml:space="preserve">Sim, após a formação será solicitada aos participantes </w:t>
      </w:r>
      <w:r w:rsidR="00630591" w:rsidRPr="00630591">
        <w:rPr>
          <w:rFonts w:asciiTheme="majorHAnsi" w:hAnsiTheme="majorHAnsi" w:cs="Arial"/>
          <w:sz w:val="22"/>
          <w:lang w:val="pt-PT"/>
        </w:rPr>
        <w:t>a apresentação de um trabalho escrito obedecendo a termos de referência que serão indicados durante a sessão</w:t>
      </w:r>
      <w:r w:rsidR="00630591">
        <w:rPr>
          <w:rFonts w:asciiTheme="majorHAnsi" w:hAnsiTheme="majorHAnsi" w:cs="Arial"/>
          <w:sz w:val="22"/>
          <w:lang w:val="pt-PT"/>
        </w:rPr>
        <w:t xml:space="preserve"> de formação. A apresentação desse trabalho e a sua aceitação pela Agência constituem </w:t>
      </w:r>
      <w:r w:rsidR="00630591" w:rsidRPr="00630591">
        <w:rPr>
          <w:rFonts w:asciiTheme="majorHAnsi" w:hAnsiTheme="majorHAnsi" w:cs="Arial"/>
          <w:sz w:val="22"/>
          <w:lang w:val="pt-PT"/>
        </w:rPr>
        <w:t xml:space="preserve">condição necessária para </w:t>
      </w:r>
      <w:r w:rsidR="00747B2D">
        <w:rPr>
          <w:rFonts w:asciiTheme="majorHAnsi" w:hAnsiTheme="majorHAnsi" w:cs="Arial"/>
          <w:sz w:val="22"/>
          <w:lang w:val="pt-PT"/>
        </w:rPr>
        <w:t>fazer parte da</w:t>
      </w:r>
      <w:r w:rsidR="00630591" w:rsidRPr="00630591">
        <w:rPr>
          <w:rFonts w:asciiTheme="majorHAnsi" w:hAnsiTheme="majorHAnsi" w:cs="Arial"/>
          <w:sz w:val="22"/>
          <w:lang w:val="pt-PT"/>
        </w:rPr>
        <w:t xml:space="preserve"> bolsa de avaliadores.</w:t>
      </w:r>
    </w:p>
    <w:p w:rsidR="00747B2D" w:rsidRPr="00E0235B" w:rsidRDefault="00747B2D" w:rsidP="003F7E23">
      <w:pPr>
        <w:widowControl w:val="0"/>
        <w:autoSpaceDE w:val="0"/>
        <w:autoSpaceDN w:val="0"/>
        <w:adjustRightInd w:val="0"/>
        <w:spacing w:after="0"/>
        <w:jc w:val="both"/>
        <w:rPr>
          <w:rFonts w:asciiTheme="majorHAnsi" w:hAnsiTheme="majorHAnsi" w:cs="Arial"/>
          <w:sz w:val="22"/>
          <w:lang w:val="pt-PT"/>
        </w:rPr>
      </w:pPr>
      <w:r w:rsidRPr="00E0235B">
        <w:rPr>
          <w:rFonts w:asciiTheme="majorHAnsi" w:hAnsiTheme="majorHAnsi" w:cs="Arial"/>
          <w:sz w:val="22"/>
          <w:lang w:val="pt-PT"/>
        </w:rPr>
        <w:t xml:space="preserve">A </w:t>
      </w:r>
      <w:r w:rsidR="00426590" w:rsidRPr="00E0235B">
        <w:rPr>
          <w:rFonts w:asciiTheme="majorHAnsi" w:hAnsiTheme="majorHAnsi" w:cs="Arial"/>
          <w:sz w:val="22"/>
          <w:lang w:val="pt-PT"/>
        </w:rPr>
        <w:t>designação de estudantes da</w:t>
      </w:r>
      <w:r w:rsidRPr="00E0235B">
        <w:rPr>
          <w:rFonts w:asciiTheme="majorHAnsi" w:hAnsiTheme="majorHAnsi" w:cs="Arial"/>
          <w:sz w:val="22"/>
          <w:lang w:val="pt-PT"/>
        </w:rPr>
        <w:t xml:space="preserve"> bolsa de avaliadores </w:t>
      </w:r>
      <w:r w:rsidR="00426590" w:rsidRPr="00E0235B">
        <w:rPr>
          <w:rFonts w:asciiTheme="majorHAnsi" w:hAnsiTheme="majorHAnsi" w:cs="Arial"/>
          <w:sz w:val="22"/>
          <w:lang w:val="pt-PT"/>
        </w:rPr>
        <w:t xml:space="preserve">para integração nas CAE terá em atenção o perfil do estudante (experiência prévia, área específica de formação, domínio de língua estrangeira, …) e do ciclo de estudos (1º, 2º ou 3º ciclo, eventual multidisciplinaridade, …), pelo que a participação na bolsa de formadores não implica, necessariamente, a integração numa CAE. </w:t>
      </w:r>
    </w:p>
    <w:p w:rsidR="00C51B10" w:rsidRPr="009115CC" w:rsidRDefault="00C51B10" w:rsidP="00C51B10">
      <w:pPr>
        <w:widowControl w:val="0"/>
        <w:autoSpaceDE w:val="0"/>
        <w:autoSpaceDN w:val="0"/>
        <w:adjustRightInd w:val="0"/>
        <w:spacing w:after="120"/>
        <w:jc w:val="both"/>
        <w:rPr>
          <w:rFonts w:asciiTheme="majorHAnsi" w:hAnsiTheme="majorHAnsi" w:cs="Arial"/>
          <w:sz w:val="22"/>
          <w:lang w:val="pt-PT"/>
        </w:rPr>
      </w:pPr>
    </w:p>
    <w:p w:rsidR="003F7E23" w:rsidRPr="00630591" w:rsidRDefault="000B20F5" w:rsidP="003F7E23">
      <w:pPr>
        <w:widowControl w:val="0"/>
        <w:autoSpaceDE w:val="0"/>
        <w:autoSpaceDN w:val="0"/>
        <w:adjustRightInd w:val="0"/>
        <w:spacing w:after="0"/>
        <w:jc w:val="both"/>
        <w:rPr>
          <w:rFonts w:asciiTheme="majorHAnsi" w:hAnsiTheme="majorHAnsi" w:cs="Arial"/>
          <w:b/>
          <w:i/>
          <w:sz w:val="22"/>
          <w:lang w:val="pt-PT"/>
        </w:rPr>
      </w:pPr>
      <w:r w:rsidRPr="00630591">
        <w:rPr>
          <w:rFonts w:asciiTheme="majorHAnsi" w:hAnsiTheme="majorHAnsi" w:cs="Arial"/>
          <w:b/>
          <w:i/>
          <w:sz w:val="22"/>
          <w:lang w:val="pt-PT"/>
        </w:rPr>
        <w:t>P</w:t>
      </w:r>
      <w:r w:rsidR="00163BC2">
        <w:rPr>
          <w:rFonts w:asciiTheme="majorHAnsi" w:hAnsiTheme="majorHAnsi" w:cs="Arial"/>
          <w:b/>
          <w:i/>
          <w:sz w:val="22"/>
          <w:lang w:val="pt-PT"/>
        </w:rPr>
        <w:t>5</w:t>
      </w:r>
      <w:r w:rsidRPr="00630591">
        <w:rPr>
          <w:rFonts w:asciiTheme="majorHAnsi" w:hAnsiTheme="majorHAnsi" w:cs="Arial"/>
          <w:b/>
          <w:i/>
          <w:sz w:val="22"/>
          <w:lang w:val="pt-PT"/>
        </w:rPr>
        <w:t xml:space="preserve"> </w:t>
      </w:r>
      <w:r w:rsidR="00C51B10">
        <w:rPr>
          <w:rFonts w:asciiTheme="majorHAnsi" w:hAnsiTheme="majorHAnsi" w:cs="Arial"/>
          <w:b/>
          <w:i/>
          <w:sz w:val="22"/>
          <w:lang w:val="pt-PT"/>
        </w:rPr>
        <w:t>–</w:t>
      </w:r>
      <w:r w:rsidRPr="00630591">
        <w:rPr>
          <w:rFonts w:asciiTheme="majorHAnsi" w:hAnsiTheme="majorHAnsi" w:cs="Arial"/>
          <w:b/>
          <w:i/>
          <w:sz w:val="22"/>
          <w:lang w:val="pt-PT"/>
        </w:rPr>
        <w:t xml:space="preserve"> </w:t>
      </w:r>
      <w:r w:rsidR="00C51B10" w:rsidRPr="00E0235B">
        <w:rPr>
          <w:rFonts w:asciiTheme="majorHAnsi" w:hAnsiTheme="majorHAnsi" w:cs="Arial"/>
          <w:b/>
          <w:i/>
          <w:sz w:val="22"/>
          <w:lang w:val="pt-PT"/>
        </w:rPr>
        <w:t>Q</w:t>
      </w:r>
      <w:r w:rsidR="00E0235B" w:rsidRPr="00E0235B">
        <w:rPr>
          <w:rFonts w:asciiTheme="majorHAnsi" w:hAnsiTheme="majorHAnsi" w:cs="Arial"/>
          <w:b/>
          <w:i/>
          <w:sz w:val="22"/>
          <w:lang w:val="pt-PT"/>
        </w:rPr>
        <w:t xml:space="preserve">ual a posição do </w:t>
      </w:r>
      <w:r w:rsidR="00C51B10" w:rsidRPr="00E0235B">
        <w:rPr>
          <w:rFonts w:asciiTheme="majorHAnsi" w:hAnsiTheme="majorHAnsi" w:cs="Arial"/>
          <w:b/>
          <w:i/>
          <w:sz w:val="22"/>
          <w:lang w:val="pt-PT"/>
        </w:rPr>
        <w:t>estudante-avaliador</w:t>
      </w:r>
      <w:r w:rsidR="00E0235B" w:rsidRPr="00E0235B">
        <w:rPr>
          <w:rFonts w:asciiTheme="majorHAnsi" w:hAnsiTheme="majorHAnsi" w:cs="Arial"/>
          <w:b/>
          <w:i/>
          <w:sz w:val="22"/>
          <w:lang w:val="pt-PT"/>
        </w:rPr>
        <w:t xml:space="preserve"> na CAE</w:t>
      </w:r>
      <w:r w:rsidRPr="00E0235B">
        <w:rPr>
          <w:rFonts w:asciiTheme="majorHAnsi" w:hAnsiTheme="majorHAnsi" w:cs="Arial"/>
          <w:b/>
          <w:i/>
          <w:sz w:val="22"/>
          <w:lang w:val="pt-PT"/>
        </w:rPr>
        <w:t>?</w:t>
      </w:r>
      <w:r w:rsidR="00ED18E9" w:rsidRPr="00E0235B">
        <w:rPr>
          <w:rFonts w:asciiTheme="majorHAnsi" w:hAnsiTheme="majorHAnsi" w:cs="Arial"/>
          <w:b/>
          <w:i/>
          <w:sz w:val="22"/>
          <w:lang w:val="pt-PT"/>
        </w:rPr>
        <w:t xml:space="preserve"> </w:t>
      </w:r>
    </w:p>
    <w:p w:rsidR="00000837" w:rsidRPr="00AB0B86" w:rsidRDefault="00000837" w:rsidP="00AB0B86">
      <w:pPr>
        <w:widowControl w:val="0"/>
        <w:autoSpaceDE w:val="0"/>
        <w:autoSpaceDN w:val="0"/>
        <w:adjustRightInd w:val="0"/>
        <w:spacing w:after="0" w:line="192" w:lineRule="auto"/>
        <w:jc w:val="both"/>
        <w:rPr>
          <w:rFonts w:asciiTheme="majorHAnsi" w:hAnsiTheme="majorHAnsi" w:cs="Arial"/>
          <w:color w:val="0070C0"/>
          <w:sz w:val="22"/>
          <w:lang w:val="pt-PT"/>
        </w:rPr>
      </w:pPr>
    </w:p>
    <w:p w:rsidR="003F7E23" w:rsidRDefault="000B20F5" w:rsidP="00630591">
      <w:pPr>
        <w:spacing w:after="0"/>
        <w:jc w:val="both"/>
        <w:rPr>
          <w:rFonts w:asciiTheme="majorHAnsi" w:hAnsiTheme="majorHAnsi" w:cs="Arial"/>
          <w:sz w:val="22"/>
          <w:lang w:val="pt-PT"/>
        </w:rPr>
      </w:pPr>
      <w:r w:rsidRPr="009115CC">
        <w:rPr>
          <w:rFonts w:asciiTheme="majorHAnsi" w:hAnsiTheme="majorHAnsi" w:cs="Arial"/>
          <w:sz w:val="22"/>
          <w:lang w:val="pt-PT"/>
        </w:rPr>
        <w:t>R</w:t>
      </w:r>
      <w:r w:rsidR="00163BC2">
        <w:rPr>
          <w:rFonts w:asciiTheme="majorHAnsi" w:hAnsiTheme="majorHAnsi" w:cs="Arial"/>
          <w:sz w:val="22"/>
          <w:lang w:val="pt-PT"/>
        </w:rPr>
        <w:t>5</w:t>
      </w:r>
      <w:r w:rsidRPr="009115CC">
        <w:rPr>
          <w:rFonts w:asciiTheme="majorHAnsi" w:hAnsiTheme="majorHAnsi" w:cs="Arial"/>
          <w:sz w:val="22"/>
          <w:lang w:val="pt-PT"/>
        </w:rPr>
        <w:t xml:space="preserve"> </w:t>
      </w:r>
      <w:r w:rsidR="003010B3" w:rsidRPr="009115CC">
        <w:rPr>
          <w:rFonts w:asciiTheme="majorHAnsi" w:hAnsiTheme="majorHAnsi" w:cs="Arial"/>
          <w:sz w:val="22"/>
          <w:lang w:val="pt-PT"/>
        </w:rPr>
        <w:t>–</w:t>
      </w:r>
      <w:r w:rsidR="00C51B10">
        <w:rPr>
          <w:rFonts w:asciiTheme="majorHAnsi" w:hAnsiTheme="majorHAnsi" w:cs="Arial"/>
          <w:sz w:val="22"/>
          <w:lang w:val="pt-PT"/>
        </w:rPr>
        <w:t xml:space="preserve"> O estudante-avaliador integra a CAE como membro de pleno direito da mesma,</w:t>
      </w:r>
      <w:r w:rsidR="00C51B10" w:rsidRPr="00C51B10">
        <w:rPr>
          <w:rFonts w:asciiTheme="majorHAnsi" w:hAnsiTheme="majorHAnsi" w:cs="Arial"/>
          <w:sz w:val="22"/>
          <w:lang w:val="pt-PT"/>
        </w:rPr>
        <w:t xml:space="preserve"> </w:t>
      </w:r>
      <w:r w:rsidR="00C51B10">
        <w:rPr>
          <w:rFonts w:asciiTheme="majorHAnsi" w:hAnsiTheme="majorHAnsi" w:cs="Arial"/>
          <w:sz w:val="22"/>
          <w:lang w:val="pt-PT"/>
        </w:rPr>
        <w:t xml:space="preserve">incluindo o direito de </w:t>
      </w:r>
      <w:r w:rsidR="00DC156E">
        <w:rPr>
          <w:rFonts w:asciiTheme="majorHAnsi" w:hAnsiTheme="majorHAnsi" w:cs="Arial"/>
          <w:sz w:val="22"/>
          <w:lang w:val="pt-PT"/>
        </w:rPr>
        <w:t>recebimento</w:t>
      </w:r>
      <w:r w:rsidR="00C51B10">
        <w:rPr>
          <w:rFonts w:asciiTheme="majorHAnsi" w:hAnsiTheme="majorHAnsi" w:cs="Arial"/>
          <w:sz w:val="22"/>
          <w:lang w:val="pt-PT"/>
        </w:rPr>
        <w:t xml:space="preserve"> de uma senha de presença pela participação em cada visita de avaliação. </w:t>
      </w:r>
    </w:p>
    <w:p w:rsidR="00630591" w:rsidRPr="009115CC" w:rsidRDefault="00630591" w:rsidP="00630591">
      <w:pPr>
        <w:widowControl w:val="0"/>
        <w:autoSpaceDE w:val="0"/>
        <w:autoSpaceDN w:val="0"/>
        <w:adjustRightInd w:val="0"/>
        <w:spacing w:after="120"/>
        <w:jc w:val="both"/>
        <w:rPr>
          <w:rFonts w:asciiTheme="majorHAnsi" w:hAnsiTheme="majorHAnsi" w:cs="Arial"/>
          <w:sz w:val="22"/>
          <w:lang w:val="pt-PT"/>
        </w:rPr>
      </w:pPr>
    </w:p>
    <w:p w:rsidR="00630591" w:rsidRPr="00630591" w:rsidRDefault="00630591" w:rsidP="00630591">
      <w:pPr>
        <w:widowControl w:val="0"/>
        <w:autoSpaceDE w:val="0"/>
        <w:autoSpaceDN w:val="0"/>
        <w:adjustRightInd w:val="0"/>
        <w:spacing w:after="0"/>
        <w:jc w:val="both"/>
        <w:rPr>
          <w:rFonts w:asciiTheme="majorHAnsi" w:hAnsiTheme="majorHAnsi" w:cs="Arial"/>
          <w:b/>
          <w:i/>
          <w:sz w:val="22"/>
          <w:lang w:val="pt-PT"/>
        </w:rPr>
      </w:pPr>
      <w:r w:rsidRPr="00630591">
        <w:rPr>
          <w:rFonts w:asciiTheme="majorHAnsi" w:hAnsiTheme="majorHAnsi" w:cs="Arial"/>
          <w:b/>
          <w:i/>
          <w:sz w:val="22"/>
          <w:lang w:val="pt-PT"/>
        </w:rPr>
        <w:t>P</w:t>
      </w:r>
      <w:r w:rsidR="00163BC2">
        <w:rPr>
          <w:rFonts w:asciiTheme="majorHAnsi" w:hAnsiTheme="majorHAnsi" w:cs="Arial"/>
          <w:b/>
          <w:i/>
          <w:sz w:val="22"/>
          <w:lang w:val="pt-PT"/>
        </w:rPr>
        <w:t>6</w:t>
      </w:r>
      <w:r w:rsidRPr="00630591">
        <w:rPr>
          <w:rFonts w:asciiTheme="majorHAnsi" w:hAnsiTheme="majorHAnsi" w:cs="Arial"/>
          <w:b/>
          <w:i/>
          <w:sz w:val="22"/>
          <w:lang w:val="pt-PT"/>
        </w:rPr>
        <w:t xml:space="preserve"> </w:t>
      </w:r>
      <w:r>
        <w:rPr>
          <w:rFonts w:asciiTheme="majorHAnsi" w:hAnsiTheme="majorHAnsi" w:cs="Arial"/>
          <w:b/>
          <w:i/>
          <w:sz w:val="22"/>
          <w:lang w:val="pt-PT"/>
        </w:rPr>
        <w:t>–</w:t>
      </w:r>
      <w:r w:rsidRPr="00630591">
        <w:rPr>
          <w:rFonts w:asciiTheme="majorHAnsi" w:hAnsiTheme="majorHAnsi" w:cs="Arial"/>
          <w:b/>
          <w:i/>
          <w:sz w:val="22"/>
          <w:lang w:val="pt-PT"/>
        </w:rPr>
        <w:t xml:space="preserve"> </w:t>
      </w:r>
      <w:r>
        <w:rPr>
          <w:rFonts w:asciiTheme="majorHAnsi" w:hAnsiTheme="majorHAnsi" w:cs="Arial"/>
          <w:b/>
          <w:i/>
          <w:sz w:val="22"/>
          <w:lang w:val="pt-PT"/>
        </w:rPr>
        <w:t>Os encargos assumidos pelos participantes na sessão de formação são reembolsados</w:t>
      </w:r>
      <w:r w:rsidRPr="00630591">
        <w:rPr>
          <w:rFonts w:asciiTheme="majorHAnsi" w:hAnsiTheme="majorHAnsi" w:cs="Arial"/>
          <w:b/>
          <w:i/>
          <w:sz w:val="22"/>
          <w:lang w:val="pt-PT"/>
        </w:rPr>
        <w:t>?</w:t>
      </w:r>
    </w:p>
    <w:p w:rsidR="00630591" w:rsidRPr="00AB0B86" w:rsidRDefault="00630591" w:rsidP="00AB0B86">
      <w:pPr>
        <w:widowControl w:val="0"/>
        <w:autoSpaceDE w:val="0"/>
        <w:autoSpaceDN w:val="0"/>
        <w:adjustRightInd w:val="0"/>
        <w:spacing w:after="0" w:line="192" w:lineRule="auto"/>
        <w:jc w:val="both"/>
        <w:rPr>
          <w:rFonts w:asciiTheme="majorHAnsi" w:hAnsiTheme="majorHAnsi" w:cs="Arial"/>
          <w:color w:val="0070C0"/>
          <w:sz w:val="22"/>
          <w:lang w:val="pt-PT"/>
        </w:rPr>
      </w:pPr>
    </w:p>
    <w:p w:rsidR="00630591" w:rsidRPr="009115CC" w:rsidRDefault="00630591" w:rsidP="00630591">
      <w:pPr>
        <w:jc w:val="both"/>
        <w:rPr>
          <w:rFonts w:asciiTheme="majorHAnsi" w:hAnsiTheme="majorHAnsi" w:cs="Arial"/>
          <w:sz w:val="22"/>
          <w:lang w:val="pt-PT"/>
        </w:rPr>
      </w:pPr>
      <w:r w:rsidRPr="009115CC">
        <w:rPr>
          <w:rFonts w:asciiTheme="majorHAnsi" w:hAnsiTheme="majorHAnsi" w:cs="Arial"/>
          <w:sz w:val="22"/>
          <w:lang w:val="pt-PT"/>
        </w:rPr>
        <w:t>R</w:t>
      </w:r>
      <w:r w:rsidR="00163BC2">
        <w:rPr>
          <w:rFonts w:asciiTheme="majorHAnsi" w:hAnsiTheme="majorHAnsi" w:cs="Arial"/>
          <w:sz w:val="22"/>
          <w:lang w:val="pt-PT"/>
        </w:rPr>
        <w:t>6</w:t>
      </w:r>
      <w:r w:rsidRPr="009115CC">
        <w:rPr>
          <w:rFonts w:asciiTheme="majorHAnsi" w:hAnsiTheme="majorHAnsi" w:cs="Arial"/>
          <w:sz w:val="22"/>
          <w:lang w:val="pt-PT"/>
        </w:rPr>
        <w:t xml:space="preserve"> –</w:t>
      </w:r>
      <w:r>
        <w:rPr>
          <w:rFonts w:asciiTheme="majorHAnsi" w:hAnsiTheme="majorHAnsi" w:cs="Arial"/>
          <w:sz w:val="22"/>
          <w:lang w:val="pt-PT"/>
        </w:rPr>
        <w:t xml:space="preserve"> Sim, </w:t>
      </w:r>
      <w:r w:rsidR="008F34C2" w:rsidRPr="00E0235B">
        <w:rPr>
          <w:rFonts w:asciiTheme="majorHAnsi" w:hAnsiTheme="majorHAnsi" w:cs="Arial"/>
          <w:sz w:val="22"/>
          <w:lang w:val="pt-PT"/>
        </w:rPr>
        <w:t xml:space="preserve">no caso de reunião presencial os </w:t>
      </w:r>
      <w:r>
        <w:rPr>
          <w:rFonts w:asciiTheme="majorHAnsi" w:hAnsiTheme="majorHAnsi" w:cs="Arial"/>
          <w:sz w:val="22"/>
          <w:lang w:val="pt-PT"/>
        </w:rPr>
        <w:t>e</w:t>
      </w:r>
      <w:r w:rsidRPr="00630591">
        <w:rPr>
          <w:rFonts w:asciiTheme="majorHAnsi" w:hAnsiTheme="majorHAnsi" w:cs="Arial"/>
          <w:sz w:val="22"/>
          <w:lang w:val="pt-PT"/>
        </w:rPr>
        <w:t>ventuais encargos com a deslocação ao local da reunião</w:t>
      </w:r>
      <w:r w:rsidR="00C51B10">
        <w:rPr>
          <w:rFonts w:asciiTheme="majorHAnsi" w:hAnsiTheme="majorHAnsi" w:cs="Arial"/>
          <w:sz w:val="22"/>
          <w:lang w:val="pt-PT"/>
        </w:rPr>
        <w:t>, incluindo os transportes públicos e os táxis necessários de acesso às estações,</w:t>
      </w:r>
      <w:r w:rsidRPr="00630591">
        <w:rPr>
          <w:rFonts w:asciiTheme="majorHAnsi" w:hAnsiTheme="majorHAnsi" w:cs="Arial"/>
          <w:sz w:val="22"/>
          <w:lang w:val="pt-PT"/>
        </w:rPr>
        <w:t xml:space="preserve"> serão suportados pela Agência, mediante apresentação d</w:t>
      </w:r>
      <w:r>
        <w:rPr>
          <w:rFonts w:asciiTheme="majorHAnsi" w:hAnsiTheme="majorHAnsi" w:cs="Arial"/>
          <w:sz w:val="22"/>
          <w:lang w:val="pt-PT"/>
        </w:rPr>
        <w:t>e</w:t>
      </w:r>
      <w:r w:rsidRPr="00630591">
        <w:rPr>
          <w:rFonts w:asciiTheme="majorHAnsi" w:hAnsiTheme="majorHAnsi" w:cs="Arial"/>
          <w:sz w:val="22"/>
          <w:lang w:val="pt-PT"/>
        </w:rPr>
        <w:t xml:space="preserve"> formulário de reembolso </w:t>
      </w:r>
      <w:r>
        <w:rPr>
          <w:rFonts w:asciiTheme="majorHAnsi" w:hAnsiTheme="majorHAnsi" w:cs="Arial"/>
          <w:sz w:val="22"/>
          <w:lang w:val="pt-PT"/>
        </w:rPr>
        <w:t xml:space="preserve">de modelo próprio </w:t>
      </w:r>
      <w:r>
        <w:rPr>
          <w:rFonts w:asciiTheme="majorHAnsi" w:hAnsiTheme="majorHAnsi" w:cs="Arial"/>
          <w:sz w:val="22"/>
          <w:lang w:val="pt-PT"/>
        </w:rPr>
        <w:lastRenderedPageBreak/>
        <w:t>fornecido pela Agência</w:t>
      </w:r>
      <w:r w:rsidRPr="00630591">
        <w:rPr>
          <w:rFonts w:asciiTheme="majorHAnsi" w:hAnsiTheme="majorHAnsi" w:cs="Arial"/>
          <w:sz w:val="22"/>
          <w:lang w:val="pt-PT"/>
        </w:rPr>
        <w:t xml:space="preserve">, devidamente preenchido e acompanhado dos </w:t>
      </w:r>
      <w:r w:rsidR="00C51B10">
        <w:rPr>
          <w:rFonts w:asciiTheme="majorHAnsi" w:hAnsiTheme="majorHAnsi" w:cs="Arial"/>
          <w:sz w:val="22"/>
          <w:lang w:val="pt-PT"/>
        </w:rPr>
        <w:t>recibos</w:t>
      </w:r>
      <w:r w:rsidRPr="00630591">
        <w:rPr>
          <w:rFonts w:asciiTheme="majorHAnsi" w:hAnsiTheme="majorHAnsi" w:cs="Arial"/>
          <w:sz w:val="22"/>
          <w:lang w:val="pt-PT"/>
        </w:rPr>
        <w:t xml:space="preserve"> originais das despesas efetuadas</w:t>
      </w:r>
      <w:r w:rsidR="00BA73C9">
        <w:rPr>
          <w:rFonts w:asciiTheme="majorHAnsi" w:hAnsiTheme="majorHAnsi" w:cs="Arial"/>
          <w:sz w:val="22"/>
          <w:lang w:val="pt-PT"/>
        </w:rPr>
        <w:t>, após a entrega do trabalho escrito</w:t>
      </w:r>
      <w:r w:rsidR="000A5F97">
        <w:rPr>
          <w:rFonts w:asciiTheme="majorHAnsi" w:hAnsiTheme="majorHAnsi" w:cs="Arial"/>
          <w:sz w:val="22"/>
          <w:lang w:val="pt-PT"/>
        </w:rPr>
        <w:t xml:space="preserve"> (deverão ser solicitados recibos com a informação fiscal da A3ES, NIF: </w:t>
      </w:r>
      <w:r w:rsidRPr="009115CC">
        <w:rPr>
          <w:rFonts w:asciiTheme="majorHAnsi" w:hAnsiTheme="majorHAnsi" w:cs="Arial"/>
          <w:sz w:val="22"/>
          <w:lang w:val="pt-PT"/>
        </w:rPr>
        <w:t>.</w:t>
      </w:r>
      <w:r>
        <w:rPr>
          <w:rFonts w:asciiTheme="majorHAnsi" w:hAnsiTheme="majorHAnsi" w:cs="Arial"/>
          <w:sz w:val="22"/>
          <w:lang w:val="pt-PT"/>
        </w:rPr>
        <w:t xml:space="preserve"> </w:t>
      </w:r>
      <w:r w:rsidR="00A23078">
        <w:rPr>
          <w:rFonts w:asciiTheme="majorHAnsi" w:hAnsiTheme="majorHAnsi" w:cs="Arial"/>
          <w:sz w:val="22"/>
          <w:lang w:val="pt-PT"/>
        </w:rPr>
        <w:t>Em caso de</w:t>
      </w:r>
      <w:r>
        <w:rPr>
          <w:rFonts w:asciiTheme="majorHAnsi" w:hAnsiTheme="majorHAnsi" w:cs="Arial"/>
          <w:sz w:val="22"/>
          <w:lang w:val="pt-PT"/>
        </w:rPr>
        <w:t xml:space="preserve"> deslocação em viatura própria</w:t>
      </w:r>
      <w:r w:rsidR="00A23078">
        <w:rPr>
          <w:rFonts w:asciiTheme="majorHAnsi" w:hAnsiTheme="majorHAnsi" w:cs="Arial"/>
          <w:sz w:val="22"/>
          <w:lang w:val="pt-PT"/>
        </w:rPr>
        <w:t>,</w:t>
      </w:r>
      <w:r>
        <w:rPr>
          <w:rFonts w:asciiTheme="majorHAnsi" w:hAnsiTheme="majorHAnsi" w:cs="Arial"/>
          <w:sz w:val="22"/>
          <w:lang w:val="pt-PT"/>
        </w:rPr>
        <w:t xml:space="preserve"> </w:t>
      </w:r>
      <w:r w:rsidR="00A23078">
        <w:rPr>
          <w:rFonts w:asciiTheme="majorHAnsi" w:hAnsiTheme="majorHAnsi" w:cs="Arial"/>
          <w:sz w:val="22"/>
          <w:lang w:val="pt-PT"/>
        </w:rPr>
        <w:t>será reembolsado o valor correspondente ao custo de deslocação em transporte público.</w:t>
      </w:r>
    </w:p>
    <w:sectPr w:rsidR="00630591" w:rsidRPr="009115CC" w:rsidSect="00AB0B86">
      <w:pgSz w:w="11900" w:h="16840"/>
      <w:pgMar w:top="1276" w:right="1410" w:bottom="142"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E659E"/>
    <w:multiLevelType w:val="hybridMultilevel"/>
    <w:tmpl w:val="54164AEE"/>
    <w:lvl w:ilvl="0" w:tplc="01A6A29A">
      <w:start w:val="1"/>
      <w:numFmt w:val="bullet"/>
      <w:lvlText w:val="•"/>
      <w:lvlJc w:val="left"/>
      <w:pPr>
        <w:tabs>
          <w:tab w:val="num" w:pos="720"/>
        </w:tabs>
        <w:ind w:left="720" w:hanging="360"/>
      </w:pPr>
      <w:rPr>
        <w:rFonts w:ascii="Times New Roman" w:hAnsi="Times New Roman" w:hint="default"/>
      </w:rPr>
    </w:lvl>
    <w:lvl w:ilvl="1" w:tplc="80ACD610">
      <w:start w:val="1"/>
      <w:numFmt w:val="bullet"/>
      <w:lvlText w:val="•"/>
      <w:lvlJc w:val="left"/>
      <w:pPr>
        <w:tabs>
          <w:tab w:val="num" w:pos="1440"/>
        </w:tabs>
        <w:ind w:left="1440" w:hanging="360"/>
      </w:pPr>
      <w:rPr>
        <w:rFonts w:ascii="Times New Roman" w:hAnsi="Times New Roman" w:hint="default"/>
      </w:rPr>
    </w:lvl>
    <w:lvl w:ilvl="2" w:tplc="DFB85460" w:tentative="1">
      <w:start w:val="1"/>
      <w:numFmt w:val="bullet"/>
      <w:lvlText w:val="•"/>
      <w:lvlJc w:val="left"/>
      <w:pPr>
        <w:tabs>
          <w:tab w:val="num" w:pos="2160"/>
        </w:tabs>
        <w:ind w:left="2160" w:hanging="360"/>
      </w:pPr>
      <w:rPr>
        <w:rFonts w:ascii="Times New Roman" w:hAnsi="Times New Roman" w:hint="default"/>
      </w:rPr>
    </w:lvl>
    <w:lvl w:ilvl="3" w:tplc="6D56122C" w:tentative="1">
      <w:start w:val="1"/>
      <w:numFmt w:val="bullet"/>
      <w:lvlText w:val="•"/>
      <w:lvlJc w:val="left"/>
      <w:pPr>
        <w:tabs>
          <w:tab w:val="num" w:pos="2880"/>
        </w:tabs>
        <w:ind w:left="2880" w:hanging="360"/>
      </w:pPr>
      <w:rPr>
        <w:rFonts w:ascii="Times New Roman" w:hAnsi="Times New Roman" w:hint="default"/>
      </w:rPr>
    </w:lvl>
    <w:lvl w:ilvl="4" w:tplc="9AC60822" w:tentative="1">
      <w:start w:val="1"/>
      <w:numFmt w:val="bullet"/>
      <w:lvlText w:val="•"/>
      <w:lvlJc w:val="left"/>
      <w:pPr>
        <w:tabs>
          <w:tab w:val="num" w:pos="3600"/>
        </w:tabs>
        <w:ind w:left="3600" w:hanging="360"/>
      </w:pPr>
      <w:rPr>
        <w:rFonts w:ascii="Times New Roman" w:hAnsi="Times New Roman" w:hint="default"/>
      </w:rPr>
    </w:lvl>
    <w:lvl w:ilvl="5" w:tplc="3DB84B0E" w:tentative="1">
      <w:start w:val="1"/>
      <w:numFmt w:val="bullet"/>
      <w:lvlText w:val="•"/>
      <w:lvlJc w:val="left"/>
      <w:pPr>
        <w:tabs>
          <w:tab w:val="num" w:pos="4320"/>
        </w:tabs>
        <w:ind w:left="4320" w:hanging="360"/>
      </w:pPr>
      <w:rPr>
        <w:rFonts w:ascii="Times New Roman" w:hAnsi="Times New Roman" w:hint="default"/>
      </w:rPr>
    </w:lvl>
    <w:lvl w:ilvl="6" w:tplc="D5BAE40E" w:tentative="1">
      <w:start w:val="1"/>
      <w:numFmt w:val="bullet"/>
      <w:lvlText w:val="•"/>
      <w:lvlJc w:val="left"/>
      <w:pPr>
        <w:tabs>
          <w:tab w:val="num" w:pos="5040"/>
        </w:tabs>
        <w:ind w:left="5040" w:hanging="360"/>
      </w:pPr>
      <w:rPr>
        <w:rFonts w:ascii="Times New Roman" w:hAnsi="Times New Roman" w:hint="default"/>
      </w:rPr>
    </w:lvl>
    <w:lvl w:ilvl="7" w:tplc="936C3044" w:tentative="1">
      <w:start w:val="1"/>
      <w:numFmt w:val="bullet"/>
      <w:lvlText w:val="•"/>
      <w:lvlJc w:val="left"/>
      <w:pPr>
        <w:tabs>
          <w:tab w:val="num" w:pos="5760"/>
        </w:tabs>
        <w:ind w:left="5760" w:hanging="360"/>
      </w:pPr>
      <w:rPr>
        <w:rFonts w:ascii="Times New Roman" w:hAnsi="Times New Roman" w:hint="default"/>
      </w:rPr>
    </w:lvl>
    <w:lvl w:ilvl="8" w:tplc="0DC481B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41"/>
    <w:rsid w:val="00000837"/>
    <w:rsid w:val="000307B8"/>
    <w:rsid w:val="00086E6B"/>
    <w:rsid w:val="000A5F97"/>
    <w:rsid w:val="000B20F5"/>
    <w:rsid w:val="00163BC2"/>
    <w:rsid w:val="002D265C"/>
    <w:rsid w:val="003010B3"/>
    <w:rsid w:val="00364F9D"/>
    <w:rsid w:val="00426590"/>
    <w:rsid w:val="004C65D5"/>
    <w:rsid w:val="00541C53"/>
    <w:rsid w:val="005648ED"/>
    <w:rsid w:val="00613852"/>
    <w:rsid w:val="00630591"/>
    <w:rsid w:val="00726914"/>
    <w:rsid w:val="00747B2D"/>
    <w:rsid w:val="00843F41"/>
    <w:rsid w:val="008F34C2"/>
    <w:rsid w:val="009115CC"/>
    <w:rsid w:val="00A23078"/>
    <w:rsid w:val="00A74267"/>
    <w:rsid w:val="00AA34A1"/>
    <w:rsid w:val="00AB0B86"/>
    <w:rsid w:val="00B060A3"/>
    <w:rsid w:val="00BA73C9"/>
    <w:rsid w:val="00BD61C7"/>
    <w:rsid w:val="00C51B10"/>
    <w:rsid w:val="00D03500"/>
    <w:rsid w:val="00D85847"/>
    <w:rsid w:val="00DC156E"/>
    <w:rsid w:val="00E0235B"/>
    <w:rsid w:val="00EC49FB"/>
    <w:rsid w:val="00ED18E9"/>
    <w:rsid w:val="00EE1CE3"/>
    <w:rsid w:val="00F760D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7B48A-60A9-46D3-9593-0E1FDCEF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2C"/>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rsid w:val="00805BCE"/>
    <w:rPr>
      <w:sz w:val="16"/>
      <w:szCs w:val="16"/>
    </w:rPr>
  </w:style>
  <w:style w:type="paragraph" w:styleId="Textodecomentrio">
    <w:name w:val="annotation text"/>
    <w:basedOn w:val="Normal"/>
    <w:rsid w:val="00805BCE"/>
    <w:rPr>
      <w:sz w:val="20"/>
      <w:szCs w:val="20"/>
    </w:rPr>
  </w:style>
  <w:style w:type="paragraph" w:styleId="Textodebalo">
    <w:name w:val="Balloon Text"/>
    <w:basedOn w:val="Normal"/>
    <w:link w:val="TextodebaloCarter"/>
    <w:uiPriority w:val="99"/>
    <w:semiHidden/>
    <w:unhideWhenUsed/>
    <w:rsid w:val="00F760DB"/>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760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3106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A3ES</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Amaral</dc:creator>
  <cp:lastModifiedBy>Alexandra Luis</cp:lastModifiedBy>
  <cp:revision>2</cp:revision>
  <cp:lastPrinted>2013-11-04T12:43:00Z</cp:lastPrinted>
  <dcterms:created xsi:type="dcterms:W3CDTF">2020-09-30T11:33:00Z</dcterms:created>
  <dcterms:modified xsi:type="dcterms:W3CDTF">2020-09-30T11:33:00Z</dcterms:modified>
</cp:coreProperties>
</file>